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05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025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Herr der Herren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 der Herren,</w:t>
        <w:br/>
        <w:t>Dir sei Lob und Ehre!</w:t>
        <w:br/>
        <w:t>Halleluja!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Friedefürst und König!</w:t>
        <w:br/>
        <w:t>Halleluja!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5650392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Naomi Batya | Sophie Conty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1980 Universal Music - Brentwood Benson Publishing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LibreOffice/5.1.5.2$Windows_x86 LibreOffice_project/7a864d8825610a8c07cfc3bc01dd4fce6a9447e5</Application>
  <Pages>1</Pages>
  <Words>61</Words>
  <Characters>367</Characters>
  <CharactersWithSpaces>417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2017-05-17T20:17:15Z</dcterms:modified>
  <cp:revision>2</cp:revision>
  <dc:subject/>
  <dc:title/>
</cp:coreProperties>
</file>