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003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Dann werden sie kommen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Dann werden sie kommen und jauchzen auf Zions Höhen,</w:t>
        <w:br/>
        <w:t>und jeder wird sich freuen an den Gaben des Herrn,</w:t>
        <w:br/>
        <w:t>über Korn und über Wein, über Öl und junge Schafe,</w:t>
        <w:br/>
        <w:t>über Rinder auf den Weiden. Halleluja!</w:t>
        <w:br/>
        <w:t>So wird ihre Seele ein wasserreicher Garten,</w:t>
        <w:br/>
        <w:t>und sie werden nicht mehr bekümmert sein!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4863685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1976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1</Pages>
  <Words>86</Words>
  <Characters>485</Characters>
  <CharactersWithSpaces>562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2017-05-13T14:29:33Z</dcterms:created>
  <dc:creator/>
  <dc:description/>
  <dc:language>de-DE</dc:language>
  <cp:lastModifiedBy/>
  <dcterms:modified xsi:type="dcterms:W3CDTF">2017-05-13T14:30:45Z</dcterms:modified>
  <cp:revision>1</cp:revision>
  <dc:subject/>
  <dc:title/>
</cp:coreProperties>
</file>